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A2" w:rsidRPr="00805AC9" w:rsidRDefault="006F2AA2" w:rsidP="006F2AA2">
      <w:r w:rsidRPr="00805AC9">
        <w:t>№</w:t>
      </w:r>
      <w:r w:rsidR="00364AFD">
        <w:t>3</w:t>
      </w:r>
      <w:r w:rsidRPr="00805AC9">
        <w:t xml:space="preserve"> 201</w:t>
      </w:r>
      <w:r>
        <w:t>6</w:t>
      </w:r>
    </w:p>
    <w:p w:rsidR="006F2AA2" w:rsidRPr="00805AC9" w:rsidRDefault="006F2AA2" w:rsidP="006F2AA2"/>
    <w:p w:rsidR="006F2AA2" w:rsidRDefault="006F2AA2" w:rsidP="006F2AA2">
      <w:r w:rsidRPr="00507025">
        <w:rPr>
          <w:b/>
        </w:rPr>
        <w:t>ПРИРОДА</w:t>
      </w:r>
    </w:p>
    <w:p w:rsidR="006F2AA2" w:rsidRDefault="006F2AA2" w:rsidP="006F2AA2"/>
    <w:p w:rsidR="006F2AA2" w:rsidRPr="00507025" w:rsidRDefault="006F2AA2" w:rsidP="006F2AA2">
      <w:pPr>
        <w:rPr>
          <w:b/>
        </w:rPr>
      </w:pPr>
      <w:r w:rsidRPr="00507025">
        <w:rPr>
          <w:b/>
        </w:rPr>
        <w:t xml:space="preserve">Общие вопросы природопользования </w:t>
      </w:r>
    </w:p>
    <w:p w:rsidR="00F80AC8" w:rsidRDefault="00F80AC8" w:rsidP="006F2AA2"/>
    <w:p w:rsidR="00364AFD" w:rsidRPr="00364AFD" w:rsidRDefault="00364AFD" w:rsidP="00364AFD">
      <w:pPr>
        <w:rPr>
          <w:b/>
        </w:rPr>
      </w:pPr>
      <w:r w:rsidRPr="00364AFD">
        <w:rPr>
          <w:b/>
        </w:rPr>
        <w:t>О проекте Государственного доклада «О состоянии и об охране окружающей среды Российской Федерации в 2015 году»</w:t>
      </w:r>
    </w:p>
    <w:p w:rsidR="00364AFD" w:rsidRPr="00364AFD" w:rsidRDefault="00364AFD" w:rsidP="00364AFD">
      <w:pPr>
        <w:ind w:left="709" w:firstLine="0"/>
      </w:pPr>
      <w:r w:rsidRPr="00364AFD">
        <w:t>Н.Г. Рыбальский, д.б.н., А.Д. Думнов, д.э.н., Е.В. Муравьева, Д.А. Борискин</w:t>
      </w:r>
    </w:p>
    <w:p w:rsidR="00364AFD" w:rsidRPr="00364AFD" w:rsidRDefault="00364AFD" w:rsidP="00364AFD">
      <w:pPr>
        <w:ind w:left="709" w:firstLine="0"/>
      </w:pPr>
      <w:r w:rsidRPr="00364AFD">
        <w:t>Национальное информационное агентство «Природные ресурсы»</w:t>
      </w:r>
    </w:p>
    <w:p w:rsidR="00364AFD" w:rsidRPr="00364AFD" w:rsidRDefault="00364AFD" w:rsidP="00364AFD">
      <w:r w:rsidRPr="00364AFD">
        <w:t>Статья посвящена подготовке и выпуску Государственного доклада «О состо</w:t>
      </w:r>
      <w:r>
        <w:t>янии и об охране окружающей сре</w:t>
      </w:r>
      <w:r w:rsidRPr="00364AFD">
        <w:t xml:space="preserve">ды в Российской Федерации в 2015 году». Дан подробный анализ изначального </w:t>
      </w:r>
      <w:r>
        <w:t>становления и развития этих важ</w:t>
      </w:r>
      <w:r w:rsidRPr="00364AFD">
        <w:t>нейших государственных документов, отражающих результаты проводимой в стране политики в области охраны</w:t>
      </w:r>
      <w:r>
        <w:t xml:space="preserve"> </w:t>
      </w:r>
      <w:r w:rsidRPr="00364AFD">
        <w:t>природы и рационального природопользования. Дана характеристика важнейших особенностей Госдоклада-2015</w:t>
      </w:r>
      <w:r>
        <w:t xml:space="preserve"> </w:t>
      </w:r>
      <w:r w:rsidRPr="00364AFD">
        <w:t>по сравнению с аналогичными докладами за предшествующие годы. Представленный материал проиллюстрирован</w:t>
      </w:r>
      <w:r>
        <w:t xml:space="preserve"> </w:t>
      </w:r>
      <w:r w:rsidRPr="00364AFD">
        <w:t>конкретными числовыми данными и графиками.</w:t>
      </w:r>
    </w:p>
    <w:p w:rsidR="00364AFD" w:rsidRPr="00364AFD" w:rsidRDefault="00364AFD" w:rsidP="00364AFD">
      <w:r w:rsidRPr="00364AFD">
        <w:t>Ключевые слова: окружающая среда, Российская Федерация, Государственный доклад, окружающая среда</w:t>
      </w:r>
      <w:r>
        <w:t xml:space="preserve"> </w:t>
      </w:r>
      <w:r w:rsidRPr="00364AFD">
        <w:t>субъектов РФ, экологические проблемы федерального уровня, состояние и охра</w:t>
      </w:r>
      <w:r>
        <w:t>на отдельных видов природных ре</w:t>
      </w:r>
      <w:r w:rsidRPr="00364AFD">
        <w:t>сурсов, ООПТ, биоразнообразие, биологическое природопользование, природоохранная деятельность, показатели</w:t>
      </w:r>
      <w:r>
        <w:t xml:space="preserve"> </w:t>
      </w:r>
      <w:r w:rsidRPr="00364AFD">
        <w:t>негативного воздействия на окружающую среду, достоверность экологической информации.</w:t>
      </w:r>
    </w:p>
    <w:p w:rsidR="00364AFD" w:rsidRPr="00364AFD" w:rsidRDefault="00364AFD" w:rsidP="00364AFD">
      <w:pPr>
        <w:ind w:left="709" w:firstLine="0"/>
      </w:pPr>
    </w:p>
    <w:p w:rsidR="006F2AA2" w:rsidRPr="00507025" w:rsidRDefault="006F2AA2" w:rsidP="006F2AA2">
      <w:pPr>
        <w:rPr>
          <w:b/>
        </w:rPr>
      </w:pPr>
      <w:r w:rsidRPr="00507025">
        <w:rPr>
          <w:b/>
        </w:rPr>
        <w:t xml:space="preserve">Минеральные ресурсы </w:t>
      </w:r>
    </w:p>
    <w:p w:rsidR="006F2AA2" w:rsidRDefault="006F2AA2" w:rsidP="006F2AA2"/>
    <w:p w:rsidR="009374D3" w:rsidRPr="009374D3" w:rsidRDefault="009374D3" w:rsidP="009374D3">
      <w:pPr>
        <w:rPr>
          <w:b/>
        </w:rPr>
      </w:pPr>
      <w:r w:rsidRPr="009374D3">
        <w:rPr>
          <w:b/>
        </w:rPr>
        <w:t>Учет использования подземных вод при установлении водохозяйственных балансов в схемах комплексного использования и охраны водных объектов</w:t>
      </w:r>
    </w:p>
    <w:p w:rsidR="009374D3" w:rsidRPr="009374D3" w:rsidRDefault="009374D3" w:rsidP="009374D3">
      <w:r w:rsidRPr="009374D3">
        <w:t>М.М. Черепанский, д.г.-м.н., Российский государственный геологоразведочный университет</w:t>
      </w:r>
      <w:r>
        <w:t xml:space="preserve"> </w:t>
      </w:r>
      <w:r w:rsidRPr="009374D3">
        <w:t>им. Серго Орджоникидзе</w:t>
      </w:r>
    </w:p>
    <w:p w:rsidR="009374D3" w:rsidRPr="009374D3" w:rsidRDefault="009374D3" w:rsidP="009374D3">
      <w:r w:rsidRPr="009374D3">
        <w:t>В статье рассматриваются вопросы учета использования подземных вод при составлении водохозяйственных</w:t>
      </w:r>
      <w:r>
        <w:t xml:space="preserve"> </w:t>
      </w:r>
      <w:r w:rsidRPr="009374D3">
        <w:t>балансов для оценки доступных водных ресурсов в схемах комплексного использования и охраны водных объектов</w:t>
      </w:r>
      <w:r>
        <w:t xml:space="preserve"> </w:t>
      </w:r>
      <w:r w:rsidRPr="009374D3">
        <w:t xml:space="preserve">(СКИОВО) для основных речных бассейнов России, испытывающих дефицит </w:t>
      </w:r>
      <w:r>
        <w:t>водных ресурсов и имеющих напря</w:t>
      </w:r>
      <w:r w:rsidRPr="009374D3">
        <w:t>женный водохозяйственный баланс. Обоснована необходимость и основные принципы учета в водохозяйственных</w:t>
      </w:r>
      <w:r>
        <w:t xml:space="preserve"> </w:t>
      </w:r>
      <w:r w:rsidRPr="009374D3">
        <w:t>балансах при составлении СКИОВО степени взаимосвязи поземных и поверхн</w:t>
      </w:r>
      <w:r>
        <w:t>остных вод в зависимости от вли</w:t>
      </w:r>
      <w:r w:rsidRPr="009374D3">
        <w:t>яния гидрологических, геологических, гидрогеологических и техногенных факторов. Рассмотрены способы учета</w:t>
      </w:r>
      <w:r>
        <w:t xml:space="preserve"> </w:t>
      </w:r>
      <w:r w:rsidRPr="009374D3">
        <w:t>гидрологического и гидрогеологического строения речного бассейна, гидрологич</w:t>
      </w:r>
      <w:r>
        <w:t>еских характеристик рек и водое</w:t>
      </w:r>
      <w:r w:rsidRPr="009374D3">
        <w:t>мов, гидрогеологических условий взаимосвязи поверхностных и подземных вод, параметров водозаборов и режима</w:t>
      </w:r>
      <w:r>
        <w:t xml:space="preserve"> </w:t>
      </w:r>
      <w:r w:rsidRPr="009374D3">
        <w:t>водоотбора подземных вод (ретроспективный, существующий и перспективный) при построения расчетных схем и</w:t>
      </w:r>
      <w:r>
        <w:t xml:space="preserve"> </w:t>
      </w:r>
      <w:r w:rsidRPr="009374D3">
        <w:t>моделей. Предложена методика расчета региональных коэффициентов сокраще</w:t>
      </w:r>
      <w:r>
        <w:t>ния поверхностного стока при от</w:t>
      </w:r>
      <w:r w:rsidRPr="009374D3">
        <w:t>боре подземных вод в разрезе участка водозабора (месторождения), водохозяйственного участка, речного бассейна</w:t>
      </w:r>
      <w:r>
        <w:t xml:space="preserve"> </w:t>
      </w:r>
      <w:r w:rsidRPr="009374D3">
        <w:t>аналитическими и численными методами моделирования.</w:t>
      </w:r>
    </w:p>
    <w:p w:rsidR="00F80AC8" w:rsidRDefault="009374D3" w:rsidP="009374D3">
      <w:r w:rsidRPr="009374D3">
        <w:t>Ключевые слова: подземные водные ресурсы, учет использования подземных вод, коэффициенты сокращения</w:t>
      </w:r>
      <w:r>
        <w:t xml:space="preserve"> </w:t>
      </w:r>
      <w:r w:rsidRPr="009374D3">
        <w:t>поверхностного стока при отборе подземных вод.</w:t>
      </w:r>
    </w:p>
    <w:p w:rsidR="009374D3" w:rsidRDefault="009374D3" w:rsidP="009374D3"/>
    <w:p w:rsidR="009374D3" w:rsidRPr="009374D3" w:rsidRDefault="009374D3" w:rsidP="009374D3">
      <w:pPr>
        <w:rPr>
          <w:b/>
        </w:rPr>
      </w:pPr>
      <w:r w:rsidRPr="009374D3">
        <w:rPr>
          <w:b/>
        </w:rPr>
        <w:t>Водные ресурсы</w:t>
      </w:r>
    </w:p>
    <w:p w:rsidR="009374D3" w:rsidRPr="009374D3" w:rsidRDefault="009374D3" w:rsidP="009374D3"/>
    <w:p w:rsidR="009374D3" w:rsidRPr="009374D3" w:rsidRDefault="009374D3" w:rsidP="009374D3">
      <w:pPr>
        <w:rPr>
          <w:b/>
        </w:rPr>
      </w:pPr>
      <w:r w:rsidRPr="009374D3">
        <w:rPr>
          <w:b/>
        </w:rPr>
        <w:t>Болота и болотные ресурсы Республики Алтай</w:t>
      </w:r>
    </w:p>
    <w:p w:rsidR="009374D3" w:rsidRPr="009374D3" w:rsidRDefault="009374D3" w:rsidP="009374D3">
      <w:r>
        <w:lastRenderedPageBreak/>
        <w:t>Л.И. Инишева, чл.-корр. РАН</w:t>
      </w:r>
      <w:r w:rsidRPr="009374D3">
        <w:t>, Томский государственный педагогический университет, Томск</w:t>
      </w:r>
      <w:r>
        <w:t xml:space="preserve"> </w:t>
      </w:r>
    </w:p>
    <w:p w:rsidR="009374D3" w:rsidRPr="009374D3" w:rsidRDefault="009374D3" w:rsidP="009374D3">
      <w:r w:rsidRPr="009374D3">
        <w:t>Г.В. Ларина, к.х.н., Горно-Алтайский государственный университет, Горно-Алтайск</w:t>
      </w:r>
    </w:p>
    <w:p w:rsidR="009374D3" w:rsidRPr="009374D3" w:rsidRDefault="009374D3" w:rsidP="009374D3">
      <w:r w:rsidRPr="009374D3">
        <w:t>На территории Республики Алтай было изучено более 60 болот в разных ге</w:t>
      </w:r>
      <w:r>
        <w:t>оморфолого-климатических услови</w:t>
      </w:r>
      <w:r w:rsidRPr="009374D3">
        <w:t>ях. Проведен сравнительный анализ общетехнических характеристик болот Се</w:t>
      </w:r>
      <w:r>
        <w:t>верного, Центрального и Юго-Вос</w:t>
      </w:r>
      <w:r w:rsidRPr="009374D3">
        <w:t xml:space="preserve">точного Алтая. Полученные радиоуглеродные датировки придонных образцов торфа показывают, что </w:t>
      </w:r>
      <w:r>
        <w:t>активное фор</w:t>
      </w:r>
      <w:r w:rsidRPr="009374D3">
        <w:t>мирование первичных очагов торфонакопления началось в конце бореального и начале суббореального периода.</w:t>
      </w:r>
    </w:p>
    <w:p w:rsidR="009374D3" w:rsidRPr="009374D3" w:rsidRDefault="009374D3" w:rsidP="009374D3">
      <w:r w:rsidRPr="009374D3">
        <w:t>Ключевые слова: горные болота, болотообразование, торфяные ресурсы, болотн</w:t>
      </w:r>
      <w:r>
        <w:t>ая растительность, радиоуглерод</w:t>
      </w:r>
      <w:r w:rsidRPr="009374D3">
        <w:t>ные датировки, охраняемый фонд, Республика Алтай.</w:t>
      </w:r>
    </w:p>
    <w:p w:rsidR="009374D3" w:rsidRDefault="009374D3" w:rsidP="009374D3"/>
    <w:p w:rsidR="009374D3" w:rsidRPr="009374D3" w:rsidRDefault="009374D3" w:rsidP="009374D3">
      <w:pPr>
        <w:rPr>
          <w:b/>
        </w:rPr>
      </w:pPr>
      <w:r w:rsidRPr="009374D3">
        <w:rPr>
          <w:b/>
        </w:rPr>
        <w:t>Земельные ресурсы и почвы</w:t>
      </w:r>
    </w:p>
    <w:p w:rsidR="009374D3" w:rsidRDefault="009374D3" w:rsidP="009374D3"/>
    <w:p w:rsidR="009374D3" w:rsidRPr="009374D3" w:rsidRDefault="009374D3" w:rsidP="009374D3">
      <w:pPr>
        <w:rPr>
          <w:b/>
        </w:rPr>
      </w:pPr>
      <w:r w:rsidRPr="009374D3">
        <w:rPr>
          <w:b/>
        </w:rPr>
        <w:t>Применение фитотестирования для решения задач экологического почвоведения</w:t>
      </w:r>
    </w:p>
    <w:p w:rsidR="009374D3" w:rsidRPr="009374D3" w:rsidRDefault="009374D3" w:rsidP="009374D3">
      <w:r w:rsidRPr="009374D3">
        <w:t>В.А. Терехова</w:t>
      </w:r>
      <w:r w:rsidRPr="009374D3">
        <w:rPr>
          <w:vertAlign w:val="superscript"/>
        </w:rPr>
        <w:t>1,2</w:t>
      </w:r>
      <w:r w:rsidRPr="009374D3">
        <w:t>, д.б.н., Л.П. Воронина</w:t>
      </w:r>
      <w:r w:rsidRPr="009374D3">
        <w:rPr>
          <w:vertAlign w:val="superscript"/>
        </w:rPr>
        <w:t>1</w:t>
      </w:r>
      <w:r w:rsidRPr="009374D3">
        <w:t>, д.б.н., О.В. Николаева</w:t>
      </w:r>
      <w:r w:rsidRPr="009374D3">
        <w:rPr>
          <w:vertAlign w:val="superscript"/>
        </w:rPr>
        <w:t>3</w:t>
      </w:r>
      <w:r w:rsidRPr="009374D3">
        <w:t>, к.б.н., Т.В. Бардина</w:t>
      </w:r>
      <w:r w:rsidRPr="009374D3">
        <w:rPr>
          <w:vertAlign w:val="superscript"/>
        </w:rPr>
        <w:t>4</w:t>
      </w:r>
      <w:r w:rsidRPr="009374D3">
        <w:t>, к.б.н., О.А. Калмацкая</w:t>
      </w:r>
      <w:r w:rsidRPr="009374D3">
        <w:rPr>
          <w:vertAlign w:val="superscript"/>
        </w:rPr>
        <w:t>1</w:t>
      </w:r>
      <w:r w:rsidRPr="009374D3">
        <w:t>,</w:t>
      </w:r>
      <w:r>
        <w:t xml:space="preserve"> </w:t>
      </w:r>
      <w:r w:rsidRPr="009374D3">
        <w:t>А.П. Кирюшина</w:t>
      </w:r>
      <w:r w:rsidRPr="009374D3">
        <w:rPr>
          <w:vertAlign w:val="superscript"/>
        </w:rPr>
        <w:t>1</w:t>
      </w:r>
      <w:r w:rsidRPr="009374D3">
        <w:t>, П.В. Учанов</w:t>
      </w:r>
      <w:r w:rsidRPr="009374D3">
        <w:rPr>
          <w:vertAlign w:val="superscript"/>
        </w:rPr>
        <w:t>2</w:t>
      </w:r>
      <w:r w:rsidRPr="009374D3">
        <w:t>, В.Д. Креславский</w:t>
      </w:r>
      <w:r w:rsidRPr="009374D3">
        <w:rPr>
          <w:vertAlign w:val="superscript"/>
        </w:rPr>
        <w:t>5</w:t>
      </w:r>
      <w:r w:rsidRPr="009374D3">
        <w:t>, д.б.н., Г.К. Васильева6, к.б.н.</w:t>
      </w:r>
    </w:p>
    <w:p w:rsidR="009374D3" w:rsidRPr="009374D3" w:rsidRDefault="009374D3" w:rsidP="009374D3">
      <w:r w:rsidRPr="009374D3">
        <w:rPr>
          <w:vertAlign w:val="superscript"/>
        </w:rPr>
        <w:t>1</w:t>
      </w:r>
      <w:r w:rsidRPr="009374D3">
        <w:t>МГУ имени М.В. Ломоносова</w:t>
      </w:r>
    </w:p>
    <w:p w:rsidR="009374D3" w:rsidRPr="009374D3" w:rsidRDefault="009374D3" w:rsidP="009374D3">
      <w:r w:rsidRPr="009374D3">
        <w:rPr>
          <w:vertAlign w:val="superscript"/>
        </w:rPr>
        <w:t>2</w:t>
      </w:r>
      <w:r w:rsidRPr="009374D3">
        <w:t>Институт проблем экологии и эволюции им. А.Н. Северцова РАН, Москва</w:t>
      </w:r>
    </w:p>
    <w:p w:rsidR="009374D3" w:rsidRPr="009374D3" w:rsidRDefault="009374D3" w:rsidP="009374D3">
      <w:r w:rsidRPr="009374D3">
        <w:rPr>
          <w:vertAlign w:val="superscript"/>
        </w:rPr>
        <w:t>3</w:t>
      </w:r>
      <w:r w:rsidRPr="009374D3">
        <w:t>Учебно-опытный почвенно-экологический центр МГУ имени М.В. Ломоносова</w:t>
      </w:r>
    </w:p>
    <w:p w:rsidR="009374D3" w:rsidRPr="009374D3" w:rsidRDefault="009374D3" w:rsidP="009374D3">
      <w:r w:rsidRPr="009374D3">
        <w:rPr>
          <w:vertAlign w:val="superscript"/>
        </w:rPr>
        <w:t>4</w:t>
      </w:r>
      <w:r w:rsidRPr="009374D3">
        <w:t>Санкт-Петербургский научно-исследовательский центр экологической безопасности РАН</w:t>
      </w:r>
    </w:p>
    <w:p w:rsidR="009374D3" w:rsidRPr="009374D3" w:rsidRDefault="009374D3" w:rsidP="009374D3">
      <w:r w:rsidRPr="009374D3">
        <w:rPr>
          <w:vertAlign w:val="superscript"/>
        </w:rPr>
        <w:t>5</w:t>
      </w:r>
      <w:r w:rsidRPr="009374D3">
        <w:t>Институт фундаментальных проблем биологии РАН, г. Пущино</w:t>
      </w:r>
    </w:p>
    <w:p w:rsidR="009374D3" w:rsidRPr="009374D3" w:rsidRDefault="009374D3" w:rsidP="009374D3">
      <w:r w:rsidRPr="009374D3">
        <w:rPr>
          <w:vertAlign w:val="superscript"/>
        </w:rPr>
        <w:t>6</w:t>
      </w:r>
      <w:r w:rsidRPr="009374D3">
        <w:t>Институт физико-химических и биологических проблем почвоведения РАН, г. Пущино</w:t>
      </w:r>
    </w:p>
    <w:p w:rsidR="009374D3" w:rsidRDefault="009374D3" w:rsidP="009374D3">
      <w:r>
        <w:t>В статье рассмотрены разные направления использования фитотестирования при экологической оценке функционирования почв: в условиях агроценозов, в городской среде, в импактной зоне промышленных предприятий и в ходе рекультивации. Приводятся общие принципы реализации методов, основанных на биометрических (ростовых) и функциональных (флуоресценция хлорофилла) показателях. Отмечается необходимость учета факторов среды при вегетационном способе биотестирования. Подчеркивается важность проблемы выбора тест-культур, слабая проработанность вопроса о необходимости и достаточности аппликатного и элюатного методов лабораторного фитотестирования при загрязнении почв поллютантами разной природы. Приводятся требования к референтным (контрольным) образцам почв. Материалы отражают мнение участников дискуссии в ходе Международного симпозиума «Биодиагностика и оценка качества природной среды: подходы, методы, критерии и эталоны сравнения в экотоксикологии» (МГУ, 25-28 октября 2016 г.).</w:t>
      </w:r>
    </w:p>
    <w:p w:rsidR="009374D3" w:rsidRPr="009374D3" w:rsidRDefault="009374D3" w:rsidP="009374D3">
      <w:r w:rsidRPr="009374D3">
        <w:t>Ключевые слова: экологические функции почв, лабораторное фитотестирование, высшие растения, двудольные,</w:t>
      </w:r>
      <w:r>
        <w:t xml:space="preserve"> </w:t>
      </w:r>
      <w:r w:rsidRPr="009374D3">
        <w:t>однодольные, токсикометрия, биометрические параметры, всхожесть семян, рос</w:t>
      </w:r>
      <w:r>
        <w:t>т корня, флуоресценция хлорофил</w:t>
      </w:r>
      <w:r w:rsidRPr="009374D3">
        <w:t>ла, загрязняющие вещества, образец сравнения.</w:t>
      </w:r>
    </w:p>
    <w:p w:rsidR="009374D3" w:rsidRDefault="009374D3" w:rsidP="009374D3"/>
    <w:p w:rsidR="009374D3" w:rsidRPr="001B1094" w:rsidRDefault="001B1094" w:rsidP="001B1094">
      <w:pPr>
        <w:ind w:left="709" w:firstLine="0"/>
        <w:rPr>
          <w:b/>
        </w:rPr>
      </w:pPr>
      <w:r w:rsidRPr="001B1094">
        <w:rPr>
          <w:b/>
        </w:rPr>
        <w:t>Лесные ресурсы</w:t>
      </w:r>
    </w:p>
    <w:p w:rsidR="001B1094" w:rsidRPr="001B1094" w:rsidRDefault="001B1094" w:rsidP="001B1094">
      <w:pPr>
        <w:ind w:left="709" w:firstLine="0"/>
      </w:pPr>
    </w:p>
    <w:p w:rsidR="001B1094" w:rsidRPr="001B1094" w:rsidRDefault="001B1094" w:rsidP="001B1094">
      <w:pPr>
        <w:ind w:left="709" w:firstLine="0"/>
        <w:rPr>
          <w:b/>
        </w:rPr>
      </w:pPr>
      <w:r w:rsidRPr="001B1094">
        <w:rPr>
          <w:b/>
        </w:rPr>
        <w:t>Риски лесных пожаров в байкальском регионе на примере Республики Бурятия</w:t>
      </w:r>
    </w:p>
    <w:p w:rsidR="001B1094" w:rsidRPr="001B1094" w:rsidRDefault="001B1094" w:rsidP="001B1094">
      <w:pPr>
        <w:ind w:left="709" w:firstLine="0"/>
      </w:pPr>
      <w:r w:rsidRPr="001B1094">
        <w:t>Т.А. Борисова, к.г.н., Байкальский институт природопользования СО РАН</w:t>
      </w:r>
    </w:p>
    <w:p w:rsidR="001B1094" w:rsidRPr="001B1094" w:rsidRDefault="001B1094" w:rsidP="001B1094">
      <w:r w:rsidRPr="001B1094">
        <w:t>В статье дан анализ динамики лесных пожаров в Байкальском регионе на при</w:t>
      </w:r>
      <w:r>
        <w:t>мере Республики Бурятия за семи</w:t>
      </w:r>
      <w:r w:rsidRPr="001B1094">
        <w:t>десятилетний период. На основе официальной статистики проведен анализ ущербов, наносимых лесными пожарами и</w:t>
      </w:r>
      <w:r>
        <w:t xml:space="preserve"> </w:t>
      </w:r>
      <w:r w:rsidRPr="001B1094">
        <w:t>фактического государственного финансирования мероприятий для обеспечения пожарной безопасности. Обозначены</w:t>
      </w:r>
      <w:r>
        <w:t xml:space="preserve"> </w:t>
      </w:r>
      <w:r w:rsidRPr="001B1094">
        <w:lastRenderedPageBreak/>
        <w:t>основные природные и антропогенные факторы пожароопасности лесов в регионе и основные причины возгораний.</w:t>
      </w:r>
      <w:r>
        <w:t xml:space="preserve"> </w:t>
      </w:r>
      <w:r w:rsidRPr="001B1094">
        <w:t>Картографирование рисков лесных пожаров проведено на основе удельного показате</w:t>
      </w:r>
      <w:r>
        <w:t>ля, расчет которого выполнен че</w:t>
      </w:r>
      <w:r w:rsidRPr="001B1094">
        <w:t>рез параметр уязвимости. Составлены карты, которые отражают уровень пораженности лесов пожарами в динамике</w:t>
      </w:r>
      <w:r>
        <w:t xml:space="preserve"> </w:t>
      </w:r>
      <w:r w:rsidRPr="001B1094">
        <w:t>лет. На основании анализа полученных результатов выявлен спектр проблем, что позволило предложить некоторые</w:t>
      </w:r>
      <w:r>
        <w:t xml:space="preserve"> </w:t>
      </w:r>
      <w:r w:rsidRPr="001B1094">
        <w:t>рекомендации с целью снижения рисков лесных пожаров.</w:t>
      </w:r>
    </w:p>
    <w:p w:rsidR="009374D3" w:rsidRPr="001B1094" w:rsidRDefault="001B1094" w:rsidP="001B1094">
      <w:r w:rsidRPr="001B1094">
        <w:t xml:space="preserve">Ключевые слова: лесные пожары, ущербы, факторы пожароопасности, причины </w:t>
      </w:r>
      <w:r>
        <w:t>горимости, картографирование ри</w:t>
      </w:r>
      <w:r w:rsidRPr="001B1094">
        <w:t>сков, пораженность лесов пожарами.</w:t>
      </w:r>
    </w:p>
    <w:p w:rsidR="009374D3" w:rsidRDefault="009374D3" w:rsidP="009374D3"/>
    <w:p w:rsidR="009374D3" w:rsidRPr="009B7F33" w:rsidRDefault="009B7F33" w:rsidP="009B7F33">
      <w:pPr>
        <w:rPr>
          <w:b/>
        </w:rPr>
      </w:pPr>
      <w:r w:rsidRPr="009B7F33">
        <w:rPr>
          <w:b/>
        </w:rPr>
        <w:t>Биоразнообразие</w:t>
      </w:r>
    </w:p>
    <w:p w:rsidR="001B1094" w:rsidRPr="009B7F33" w:rsidRDefault="001B1094" w:rsidP="009B7F33"/>
    <w:p w:rsidR="009B7F33" w:rsidRPr="009B7F33" w:rsidRDefault="009B7F33" w:rsidP="009B7F33">
      <w:pPr>
        <w:rPr>
          <w:b/>
        </w:rPr>
      </w:pPr>
      <w:r w:rsidRPr="009B7F33">
        <w:rPr>
          <w:b/>
        </w:rPr>
        <w:t>Биоразнообразие насекомых семейства тенебрионид (Tenebrionidae) основных экоцентров региональной экологической сети Крыма</w:t>
      </w:r>
    </w:p>
    <w:p w:rsidR="009B7F33" w:rsidRPr="009B7F33" w:rsidRDefault="009B7F33" w:rsidP="009B7F33">
      <w:r w:rsidRPr="009B7F33">
        <w:t>В.Б. Пышкин, к.б.н., И.Л. Прыгунова, к.г.н.</w:t>
      </w:r>
    </w:p>
    <w:p w:rsidR="009B7F33" w:rsidRPr="009B7F33" w:rsidRDefault="009B7F33" w:rsidP="009B7F33">
      <w:r w:rsidRPr="009B7F33">
        <w:t>Крымское отделение Российской экологической академии</w:t>
      </w:r>
    </w:p>
    <w:p w:rsidR="009B7F33" w:rsidRPr="009B7F33" w:rsidRDefault="009B7F33" w:rsidP="009B7F33">
      <w:r w:rsidRPr="009B7F33">
        <w:t>Таврическая академия Крымского федерального университета им.В.И. Вернадского</w:t>
      </w:r>
    </w:p>
    <w:p w:rsidR="009B7F33" w:rsidRPr="009B7F33" w:rsidRDefault="009B7F33" w:rsidP="009B7F33">
      <w:r w:rsidRPr="009B7F33">
        <w:t>Филиал Московского государственного университета им. М.В. Ломоносова в г. Севастополе</w:t>
      </w:r>
    </w:p>
    <w:p w:rsidR="009B7F33" w:rsidRPr="009B7F33" w:rsidRDefault="009B7F33" w:rsidP="009B7F33">
      <w:r w:rsidRPr="009B7F33">
        <w:t>Созданная в рамках программы CrimInsecta база данных по таксономии, экол</w:t>
      </w:r>
      <w:r>
        <w:t>огии, биологии и хорологии тене</w:t>
      </w:r>
      <w:r w:rsidRPr="009B7F33">
        <w:t>брионид (Tenibrionidae) Крыма позволила выделить энтомологические комплексы экосистем основных экоцентров</w:t>
      </w:r>
      <w:r>
        <w:t xml:space="preserve"> </w:t>
      </w:r>
      <w:r w:rsidRPr="009B7F33">
        <w:t>региональной экологической сети полуострова, изучить структуру и особенности формирования этих комплексов.</w:t>
      </w:r>
      <w:r>
        <w:t xml:space="preserve"> </w:t>
      </w:r>
      <w:r w:rsidRPr="009B7F33">
        <w:t>Оценить их видовое и таксономическое богатство, иерархическое разнообразие, типичность и сложность.</w:t>
      </w:r>
    </w:p>
    <w:p w:rsidR="001B1094" w:rsidRPr="009B7F33" w:rsidRDefault="009B7F33" w:rsidP="009B7F33">
      <w:r w:rsidRPr="009B7F33">
        <w:t>Ключевые слова: Крым, экосистема, насекомые, тенебрионидофауна, биораз</w:t>
      </w:r>
      <w:r>
        <w:t>нообразие, таксономическая слож</w:t>
      </w:r>
      <w:r w:rsidRPr="009B7F33">
        <w:t>ность, типичность по разнообразию.</w:t>
      </w:r>
    </w:p>
    <w:p w:rsidR="001B1094" w:rsidRDefault="001B1094" w:rsidP="009374D3"/>
    <w:p w:rsidR="009B7F33" w:rsidRPr="00C03ACF" w:rsidRDefault="00C03ACF" w:rsidP="00C03ACF">
      <w:pPr>
        <w:rPr>
          <w:b/>
        </w:rPr>
      </w:pPr>
      <w:r w:rsidRPr="00C03ACF">
        <w:rPr>
          <w:b/>
        </w:rPr>
        <w:t>Биоресурсы суши</w:t>
      </w:r>
    </w:p>
    <w:p w:rsidR="009B7F33" w:rsidRDefault="009B7F33" w:rsidP="009374D3"/>
    <w:p w:rsidR="00C03ACF" w:rsidRPr="00C03ACF" w:rsidRDefault="00C03ACF" w:rsidP="00C03ACF">
      <w:pPr>
        <w:rPr>
          <w:b/>
        </w:rPr>
      </w:pPr>
      <w:r w:rsidRPr="00C03ACF">
        <w:rPr>
          <w:b/>
        </w:rPr>
        <w:t>Функциональность относительных оценок численности лося в управлении ресурсами</w:t>
      </w:r>
    </w:p>
    <w:p w:rsidR="00C03ACF" w:rsidRPr="00C03ACF" w:rsidRDefault="00C03ACF" w:rsidP="00C03ACF">
      <w:r w:rsidRPr="00C03ACF">
        <w:t>В.М. Глушков, д.б.н., ВНИИ охотничьего хозяйства и звероводства</w:t>
      </w:r>
      <w:r>
        <w:t xml:space="preserve"> </w:t>
      </w:r>
      <w:r w:rsidRPr="00C03ACF">
        <w:t>им. проф. Б.М. Житкова, г. Киров</w:t>
      </w:r>
    </w:p>
    <w:p w:rsidR="00C03ACF" w:rsidRPr="00C03ACF" w:rsidRDefault="00C03ACF" w:rsidP="00C03ACF">
      <w:r w:rsidRPr="00C03ACF">
        <w:t>В эксперименте ежегодные (1970-1980 гг.) сведения охотников о численности лося (Alces alces L.) в баллах и оценки</w:t>
      </w:r>
      <w:r>
        <w:t xml:space="preserve"> </w:t>
      </w:r>
      <w:r w:rsidRPr="00C03ACF">
        <w:t>абсолютной численности по данным зимнего маршрутного учета (ЗМУ) использов</w:t>
      </w:r>
      <w:r>
        <w:t>аны для анализа качества относи</w:t>
      </w:r>
      <w:r w:rsidRPr="00C03ACF">
        <w:t>тельных оценок, их функциональности в вычислении отсутствующих оценок абсолютной численности при имитации</w:t>
      </w:r>
      <w:r>
        <w:t xml:space="preserve"> </w:t>
      </w:r>
      <w:r w:rsidRPr="00C03ACF">
        <w:t>периодического, с интервалом 4-10 лет, проведения ЗМУ. Подтвердилась допустимость перехода от ежегодных учетов</w:t>
      </w:r>
      <w:r>
        <w:t xml:space="preserve"> </w:t>
      </w:r>
      <w:r w:rsidRPr="00C03ACF">
        <w:t>абсолютной численности к периодическому: один учет в 5 лет, в сочетании с ежегодными относительными учетами.</w:t>
      </w:r>
      <w:r>
        <w:t xml:space="preserve"> </w:t>
      </w:r>
      <w:r w:rsidRPr="00C03ACF">
        <w:t>Пример функциональности относительных оценок и удовлетворительной технолог</w:t>
      </w:r>
      <w:r>
        <w:t>ичности при расчетах популяцион</w:t>
      </w:r>
      <w:r w:rsidRPr="00C03ACF">
        <w:t>ных и хозяйственных параметров, при заведомо сниженных трудовых и материальных затратах на получение данных,</w:t>
      </w:r>
      <w:r>
        <w:t xml:space="preserve"> </w:t>
      </w:r>
      <w:r w:rsidRPr="00C03ACF">
        <w:t>подтверждает целесообразность их применения в государственном мониторинге ресурсов охотничьих животных.</w:t>
      </w:r>
    </w:p>
    <w:p w:rsidR="009B7F33" w:rsidRPr="00C03ACF" w:rsidRDefault="00C03ACF" w:rsidP="00C03ACF">
      <w:r w:rsidRPr="00C03ACF">
        <w:t>Ключевые слова: численность лося (Alces alces L.), мониторинг ресурсов охот</w:t>
      </w:r>
      <w:r>
        <w:t>ничьих животных, зимний маршрут</w:t>
      </w:r>
      <w:r w:rsidRPr="00C03ACF">
        <w:t>ный учет, периодичность учета, функциональность, технологичность, относительные оценки.</w:t>
      </w:r>
    </w:p>
    <w:p w:rsidR="009B7F33" w:rsidRDefault="009B7F33" w:rsidP="009374D3"/>
    <w:p w:rsidR="00F4397C" w:rsidRPr="00F4397C" w:rsidRDefault="00F4397C" w:rsidP="00F4397C">
      <w:pPr>
        <w:rPr>
          <w:b/>
        </w:rPr>
      </w:pPr>
      <w:r w:rsidRPr="00F4397C">
        <w:rPr>
          <w:b/>
        </w:rPr>
        <w:t>Проблема использования и выращивания ГМ-сои в России</w:t>
      </w:r>
    </w:p>
    <w:p w:rsidR="00F4397C" w:rsidRPr="00F4397C" w:rsidRDefault="00F4397C" w:rsidP="00F4397C">
      <w:r w:rsidRPr="00F4397C">
        <w:t>В.А. Долгинова, к.б.н., Российский центр агромаркетинга «АгроПрогноз»</w:t>
      </w:r>
    </w:p>
    <w:p w:rsidR="00F4397C" w:rsidRPr="00F4397C" w:rsidRDefault="00F4397C" w:rsidP="00F4397C">
      <w:r w:rsidRPr="00F4397C">
        <w:t>Н.Н. Рыбальский, к.б.н., факультет почвоведения МГУ им. М.В. Ломоносова</w:t>
      </w:r>
    </w:p>
    <w:p w:rsidR="00F4397C" w:rsidRPr="00F4397C" w:rsidRDefault="00F4397C" w:rsidP="00F4397C">
      <w:r w:rsidRPr="00F4397C">
        <w:lastRenderedPageBreak/>
        <w:t>В статье обосновывается использование сои для решения проблемы продовольств</w:t>
      </w:r>
      <w:r>
        <w:t>енной безопасности. Дается крат</w:t>
      </w:r>
      <w:r w:rsidRPr="00F4397C">
        <w:t>кий обзор исследований по генетически модифицированным сельскохозяйственным</w:t>
      </w:r>
      <w:r>
        <w:t xml:space="preserve"> растениям. Показано распростра</w:t>
      </w:r>
      <w:r w:rsidRPr="00F4397C">
        <w:t>нение ГМ-сои в России и в мире. Рассматривается вопрос о целесообразности использования трансгенных сортов сои.</w:t>
      </w:r>
      <w:r>
        <w:t xml:space="preserve"> </w:t>
      </w:r>
      <w:r w:rsidRPr="00F4397C">
        <w:t>Проводится краткий обзор рынка пищевой продукции, произведенной из ГМ-сои. Ставится проблема импорта в Россию</w:t>
      </w:r>
      <w:r>
        <w:t xml:space="preserve"> </w:t>
      </w:r>
      <w:r w:rsidRPr="00F4397C">
        <w:t>продукции из ГМ-сои. Обсуждается целесообразность законодательного запрета в</w:t>
      </w:r>
      <w:r>
        <w:t>ыращивания ГМ-сои в России. Рас</w:t>
      </w:r>
      <w:r w:rsidRPr="00F4397C">
        <w:t>сматривается возможность ГМ-импортозамещения соевой продукции для обеспече</w:t>
      </w:r>
      <w:r>
        <w:t>ния продовольственной безопасно</w:t>
      </w:r>
      <w:r w:rsidRPr="00F4397C">
        <w:t>сти России.</w:t>
      </w:r>
    </w:p>
    <w:p w:rsidR="00F4397C" w:rsidRPr="00F4397C" w:rsidRDefault="00F4397C" w:rsidP="00F4397C">
      <w:r w:rsidRPr="00F4397C">
        <w:t xml:space="preserve">Ключевые слова: натуральная соя, без ГМО, ГМ-соя, ГМО-соя, соя в России, </w:t>
      </w:r>
      <w:r>
        <w:t>выращивание сои, продовольствен</w:t>
      </w:r>
      <w:r w:rsidRPr="00F4397C">
        <w:t>ная безопасность, соя, борьба с голодом, рынок сои, продовольственная проблема, дефицит белка, стратегия развития</w:t>
      </w:r>
      <w:r>
        <w:t xml:space="preserve"> </w:t>
      </w:r>
      <w:r w:rsidRPr="00F4397C">
        <w:t>со еводства, продовольственные ресурсы, соевый кластер, социокультурный феномен.</w:t>
      </w:r>
    </w:p>
    <w:p w:rsidR="00F4397C" w:rsidRDefault="00F4397C" w:rsidP="009374D3"/>
    <w:p w:rsidR="00F4397C" w:rsidRPr="00F4397C" w:rsidRDefault="00F4397C" w:rsidP="00F4397C">
      <w:pPr>
        <w:rPr>
          <w:b/>
        </w:rPr>
      </w:pPr>
      <w:r w:rsidRPr="00F4397C">
        <w:rPr>
          <w:b/>
        </w:rPr>
        <w:t>Климатические ресурсы</w:t>
      </w:r>
    </w:p>
    <w:p w:rsidR="00F4397C" w:rsidRPr="00F4397C" w:rsidRDefault="00F4397C" w:rsidP="00F4397C"/>
    <w:p w:rsidR="00F4397C" w:rsidRPr="00F4397C" w:rsidRDefault="00F4397C" w:rsidP="00F4397C">
      <w:pPr>
        <w:rPr>
          <w:b/>
        </w:rPr>
      </w:pPr>
      <w:r w:rsidRPr="00F4397C">
        <w:rPr>
          <w:b/>
        </w:rPr>
        <w:t>Климатические особенности на побережье Чёрного моря и их изменения в связи с событиями Эль-Ниньо</w:t>
      </w:r>
    </w:p>
    <w:p w:rsidR="00F4397C" w:rsidRPr="00F4397C" w:rsidRDefault="00F4397C" w:rsidP="00F4397C">
      <w:r w:rsidRPr="00F4397C">
        <w:t>В.Н. Маслова, к.г.н., Е.В. Вышкваркова, к.г.н., О.Ю. Коваленко</w:t>
      </w:r>
    </w:p>
    <w:p w:rsidR="00F4397C" w:rsidRPr="00F4397C" w:rsidRDefault="00F4397C" w:rsidP="00F4397C">
      <w:r w:rsidRPr="00F4397C">
        <w:t>Институт природно-технических систем РАН, г. Севастополь</w:t>
      </w:r>
    </w:p>
    <w:p w:rsidR="00F4397C" w:rsidRPr="00F4397C" w:rsidRDefault="00F4397C" w:rsidP="00F4397C">
      <w:r w:rsidRPr="00F4397C">
        <w:t>С использованием данных о высоте геопотенциальной поверхности 1000 гПа,</w:t>
      </w:r>
      <w:r>
        <w:t xml:space="preserve"> температуре воздуха и атмосфер</w:t>
      </w:r>
      <w:r w:rsidRPr="00F4397C">
        <w:t>ных осадках в регионе Черноморского побережья России изучены типичные климатические условия и их линейные</w:t>
      </w:r>
      <w:r>
        <w:t xml:space="preserve"> </w:t>
      </w:r>
      <w:r w:rsidRPr="00F4397C">
        <w:t>тренды за 63-летний период, начиная со второй половины XX века. Выявлены основные масштабы изменчивости</w:t>
      </w:r>
      <w:r>
        <w:t xml:space="preserve"> </w:t>
      </w:r>
      <w:r w:rsidRPr="00F4397C">
        <w:t>параметров циклонов, температуры воздуха и осадков по сезонам. Изучены проявления двух типов Эль-Ниньо в</w:t>
      </w:r>
      <w:r>
        <w:t xml:space="preserve"> </w:t>
      </w:r>
      <w:r w:rsidRPr="00F4397C">
        <w:t>изменениях изучаемых характеристик.</w:t>
      </w:r>
    </w:p>
    <w:p w:rsidR="009B7F33" w:rsidRPr="00F4397C" w:rsidRDefault="00F4397C" w:rsidP="00F4397C">
      <w:r w:rsidRPr="00F4397C">
        <w:t>Ключевые слова: изменение климата, циклоны, температура воздуха, осадки, Черноморское побережье России,</w:t>
      </w:r>
      <w:r>
        <w:t xml:space="preserve"> </w:t>
      </w:r>
      <w:r w:rsidRPr="00F4397C">
        <w:t>Эль-Ниньо.</w:t>
      </w:r>
    </w:p>
    <w:p w:rsidR="009374D3" w:rsidRDefault="009374D3" w:rsidP="00F4397C"/>
    <w:p w:rsidR="00F4397C" w:rsidRPr="001F0228" w:rsidRDefault="001F0228" w:rsidP="001F0228">
      <w:pPr>
        <w:rPr>
          <w:b/>
        </w:rPr>
      </w:pPr>
      <w:r w:rsidRPr="001F0228">
        <w:rPr>
          <w:b/>
        </w:rPr>
        <w:t>Рекреационные ресурсы и ООПТ</w:t>
      </w:r>
    </w:p>
    <w:p w:rsidR="00F4397C" w:rsidRDefault="00F4397C" w:rsidP="00F4397C"/>
    <w:p w:rsidR="001F0228" w:rsidRPr="001F0228" w:rsidRDefault="001F0228" w:rsidP="001F0228">
      <w:pPr>
        <w:rPr>
          <w:b/>
        </w:rPr>
      </w:pPr>
      <w:r w:rsidRPr="001F0228">
        <w:rPr>
          <w:b/>
        </w:rPr>
        <w:t xml:space="preserve">Кормовая база соболя Юганского заповедника и ее динамика в многолетнем аспекте </w:t>
      </w:r>
    </w:p>
    <w:p w:rsidR="001F0228" w:rsidRPr="001F0228" w:rsidRDefault="001F0228" w:rsidP="001F0228">
      <w:r w:rsidRPr="001F0228">
        <w:t>В.М. Переясловец</w:t>
      </w:r>
      <w:r w:rsidRPr="001F0228">
        <w:rPr>
          <w:vertAlign w:val="superscript"/>
        </w:rPr>
        <w:t>1</w:t>
      </w:r>
      <w:r>
        <w:t>, В.П. Стариков</w:t>
      </w:r>
      <w:r w:rsidRPr="001F0228">
        <w:rPr>
          <w:vertAlign w:val="superscript"/>
        </w:rPr>
        <w:t>2</w:t>
      </w:r>
      <w:r w:rsidRPr="001F0228">
        <w:t>, д.б.н., проф.</w:t>
      </w:r>
    </w:p>
    <w:p w:rsidR="001F0228" w:rsidRPr="001F0228" w:rsidRDefault="001F0228" w:rsidP="001F0228">
      <w:r w:rsidRPr="001F0228">
        <w:rPr>
          <w:vertAlign w:val="superscript"/>
        </w:rPr>
        <w:t>1</w:t>
      </w:r>
      <w:r w:rsidRPr="001F0228">
        <w:t>Государственный природный заповедник «Юганский»</w:t>
      </w:r>
    </w:p>
    <w:p w:rsidR="001F0228" w:rsidRPr="001F0228" w:rsidRDefault="001F0228" w:rsidP="001F0228">
      <w:r w:rsidRPr="001F0228">
        <w:rPr>
          <w:vertAlign w:val="superscript"/>
        </w:rPr>
        <w:t>2</w:t>
      </w:r>
      <w:r w:rsidRPr="001F0228">
        <w:t>Сургутский государственный университет</w:t>
      </w:r>
    </w:p>
    <w:p w:rsidR="001F0228" w:rsidRPr="001F0228" w:rsidRDefault="001F0228" w:rsidP="001F0228">
      <w:r w:rsidRPr="001F0228">
        <w:t xml:space="preserve">Дан анализ количественных и качественных особенностей питания соболя (Martes zibellina </w:t>
      </w:r>
      <w:r>
        <w:t>L., 1758), обитаю</w:t>
      </w:r>
      <w:r w:rsidRPr="001F0228">
        <w:t xml:space="preserve">щего на территории заповедника «Юганский». На основе содержимого экскрементов соболя, собранных на </w:t>
      </w:r>
      <w:r>
        <w:t>протя</w:t>
      </w:r>
      <w:r w:rsidRPr="001F0228">
        <w:t>жении 1988-2015 гг., выявлены основные компоненты его рациона. В питании соб</w:t>
      </w:r>
      <w:r>
        <w:t>оля в районе исследований преоб</w:t>
      </w:r>
      <w:r w:rsidRPr="001F0228">
        <w:t>ладают корма животного происхождения, однако существенную долю его рациона также составляют и различные</w:t>
      </w:r>
      <w:r>
        <w:t xml:space="preserve"> </w:t>
      </w:r>
      <w:r w:rsidRPr="001F0228">
        <w:t>растительные корма. Соболь Юганского заповедника использует в пищу свыше 20 видов животных и растений. В</w:t>
      </w:r>
      <w:r>
        <w:t xml:space="preserve"> </w:t>
      </w:r>
      <w:r w:rsidRPr="001F0228">
        <w:t>работе рассмотрена также динамика обилия пищевых объектов, составляющих основу кормовой базы соболя.</w:t>
      </w:r>
    </w:p>
    <w:p w:rsidR="00F4397C" w:rsidRPr="001F0228" w:rsidRDefault="001F0228" w:rsidP="001F0228">
      <w:r w:rsidRPr="001F0228">
        <w:t>Ключевые слова: Юганский заповедник, соболь, питание, рацион, кормовая база, динамика.</w:t>
      </w:r>
    </w:p>
    <w:p w:rsidR="00F4397C" w:rsidRDefault="00F4397C" w:rsidP="00F4397C"/>
    <w:p w:rsidR="00F4397C" w:rsidRPr="00AE1075" w:rsidRDefault="00AE1075" w:rsidP="00AE1075">
      <w:pPr>
        <w:rPr>
          <w:b/>
        </w:rPr>
      </w:pPr>
      <w:r w:rsidRPr="00AE1075">
        <w:rPr>
          <w:b/>
        </w:rPr>
        <w:t>Охрана окружающей среды</w:t>
      </w:r>
    </w:p>
    <w:p w:rsidR="001F0228" w:rsidRDefault="001F0228" w:rsidP="00F4397C"/>
    <w:p w:rsidR="00AE1075" w:rsidRPr="00AE1075" w:rsidRDefault="00AE1075" w:rsidP="00AE1075">
      <w:pPr>
        <w:rPr>
          <w:b/>
        </w:rPr>
      </w:pPr>
      <w:r w:rsidRPr="00AE1075">
        <w:rPr>
          <w:b/>
        </w:rPr>
        <w:t>Проблема твердых коммунальных отходов и статистика</w:t>
      </w:r>
      <w:r>
        <w:rPr>
          <w:b/>
        </w:rPr>
        <w:t xml:space="preserve"> </w:t>
      </w:r>
      <w:r w:rsidRPr="00AE1075">
        <w:rPr>
          <w:b/>
        </w:rPr>
        <w:t>(Окончание. Начало в бюлл. № 2)</w:t>
      </w:r>
    </w:p>
    <w:p w:rsidR="00AE1075" w:rsidRPr="00AE1075" w:rsidRDefault="00AE1075" w:rsidP="00AE1075">
      <w:r w:rsidRPr="00AE1075">
        <w:t>А.Д. Думнов, д.э.н., Национальное информационное агентство «Природные ресурсы»,</w:t>
      </w:r>
    </w:p>
    <w:p w:rsidR="001F0228" w:rsidRPr="00AE1075" w:rsidRDefault="00AE1075" w:rsidP="00AE1075">
      <w:r w:rsidRPr="00AE1075">
        <w:lastRenderedPageBreak/>
        <w:t>А.А. Романов, д.э.н., ЗАО «Федеральный институт сертификации и оценки интеллектуальной</w:t>
      </w:r>
      <w:r>
        <w:t xml:space="preserve"> </w:t>
      </w:r>
      <w:r w:rsidRPr="00AE1075">
        <w:t>собственности и бизнеса»</w:t>
      </w:r>
    </w:p>
    <w:p w:rsidR="00F4397C" w:rsidRDefault="00F4397C" w:rsidP="00F4397C"/>
    <w:p w:rsidR="00AE1075" w:rsidRPr="00A97E0A" w:rsidRDefault="00A97E0A" w:rsidP="00A97E0A">
      <w:pPr>
        <w:rPr>
          <w:b/>
        </w:rPr>
      </w:pPr>
      <w:r w:rsidRPr="00A97E0A">
        <w:rPr>
          <w:b/>
        </w:rPr>
        <w:t>Геодезия и картография</w:t>
      </w:r>
    </w:p>
    <w:p w:rsidR="00AE1075" w:rsidRDefault="00AE1075" w:rsidP="00F4397C"/>
    <w:p w:rsidR="00A97E0A" w:rsidRPr="00A97E0A" w:rsidRDefault="00A97E0A" w:rsidP="00A97E0A">
      <w:pPr>
        <w:rPr>
          <w:b/>
        </w:rPr>
      </w:pPr>
      <w:r w:rsidRPr="00A97E0A">
        <w:rPr>
          <w:b/>
        </w:rPr>
        <w:t>Географический анализ изменений в Красной книге РФ в части исключения из нее отдельных видов животных</w:t>
      </w:r>
    </w:p>
    <w:p w:rsidR="00A97E0A" w:rsidRPr="00A97E0A" w:rsidRDefault="00A97E0A" w:rsidP="00A97E0A">
      <w:r w:rsidRPr="00A97E0A">
        <w:t>Е.А. Кравец, к.т.н., Московский государственный университет</w:t>
      </w:r>
      <w:r>
        <w:t xml:space="preserve"> </w:t>
      </w:r>
      <w:r w:rsidRPr="00A97E0A">
        <w:t>геодезии и картографии» (МИИГАиК)</w:t>
      </w:r>
    </w:p>
    <w:p w:rsidR="00A97E0A" w:rsidRPr="00A97E0A" w:rsidRDefault="00A97E0A" w:rsidP="00A97E0A">
      <w:r w:rsidRPr="00A97E0A">
        <w:t>В статье выполнен обобщенный пространственный анализ планируемых из</w:t>
      </w:r>
      <w:r>
        <w:t>менений в Красной книге РФ в ча</w:t>
      </w:r>
      <w:r w:rsidRPr="00A97E0A">
        <w:t>сти исключения отдельных видов животных. Выявлены отдельные ситуации по угрожаемости видов животных,</w:t>
      </w:r>
      <w:r>
        <w:t xml:space="preserve"> </w:t>
      </w:r>
      <w:r w:rsidRPr="00A97E0A">
        <w:t>требующие пристального внимания и анализа со стороны научного сообщества и органов управления в области</w:t>
      </w:r>
      <w:r>
        <w:t xml:space="preserve"> </w:t>
      </w:r>
      <w:r w:rsidRPr="00A97E0A">
        <w:t>охраны окружающей среды, для принятия более взвешенных решений в аспекте их охраны.</w:t>
      </w:r>
    </w:p>
    <w:p w:rsidR="00AE1075" w:rsidRPr="00A97E0A" w:rsidRDefault="00A97E0A" w:rsidP="00A97E0A">
      <w:r w:rsidRPr="00A97E0A">
        <w:t>Ключевые слова: Красная книга, виды животных, особо охраняемые природные территории, эндемичные виды.</w:t>
      </w:r>
    </w:p>
    <w:p w:rsidR="00AE1075" w:rsidRDefault="00AE1075" w:rsidP="00F4397C"/>
    <w:p w:rsidR="00A97E0A" w:rsidRPr="00A97E0A" w:rsidRDefault="00A97E0A" w:rsidP="00A97E0A">
      <w:pPr>
        <w:rPr>
          <w:b/>
        </w:rPr>
      </w:pPr>
      <w:r w:rsidRPr="00A97E0A">
        <w:rPr>
          <w:b/>
        </w:rPr>
        <w:t>Международное сотрудничество</w:t>
      </w:r>
    </w:p>
    <w:p w:rsidR="00A97E0A" w:rsidRDefault="00A97E0A" w:rsidP="00F4397C"/>
    <w:p w:rsidR="00A97E0A" w:rsidRPr="00A97E0A" w:rsidRDefault="00A97E0A" w:rsidP="00A97E0A">
      <w:pPr>
        <w:rPr>
          <w:b/>
        </w:rPr>
      </w:pPr>
      <w:r w:rsidRPr="00A97E0A">
        <w:rPr>
          <w:b/>
        </w:rPr>
        <w:t>Вклад диаспоры российских почвоведов в развитие естественных наук</w:t>
      </w:r>
    </w:p>
    <w:p w:rsidR="00A97E0A" w:rsidRPr="00A97E0A" w:rsidRDefault="00A97E0A" w:rsidP="00A97E0A">
      <w:r w:rsidRPr="00A97E0A">
        <w:t>В.С. Чесноков, к.э.н., Комиссия РАН по разработке научного наследия</w:t>
      </w:r>
      <w:r>
        <w:t xml:space="preserve"> </w:t>
      </w:r>
      <w:r w:rsidRPr="00A97E0A">
        <w:t>акад. В.И. Вернадского</w:t>
      </w:r>
    </w:p>
    <w:p w:rsidR="00A97E0A" w:rsidRPr="00A97E0A" w:rsidRDefault="00A97E0A" w:rsidP="00A97E0A">
      <w:r w:rsidRPr="00A97E0A">
        <w:t>Статья посвящена рассмотрению участия российских почвоведов-эмигрантов – проводников докучаевских</w:t>
      </w:r>
      <w:r>
        <w:t xml:space="preserve"> </w:t>
      </w:r>
      <w:r w:rsidRPr="00A97E0A">
        <w:t>идей (В.К. Агафонов, П.В. Отоцкий, С.Н. Виноградский, В.А. Костицын и др.) – в развитие естественных наук.</w:t>
      </w:r>
    </w:p>
    <w:p w:rsidR="00A97E0A" w:rsidRPr="00A97E0A" w:rsidRDefault="00A97E0A" w:rsidP="00A97E0A">
      <w:r w:rsidRPr="00A97E0A">
        <w:t>Ключевые слова: почвоведение, научные биографии почвоведов-эмигрантов.</w:t>
      </w:r>
    </w:p>
    <w:p w:rsidR="00A97E0A" w:rsidRDefault="00A97E0A" w:rsidP="00F4397C"/>
    <w:p w:rsidR="00A97E0A" w:rsidRPr="00A97E0A" w:rsidRDefault="00A97E0A" w:rsidP="00A97E0A">
      <w:pPr>
        <w:rPr>
          <w:b/>
        </w:rPr>
      </w:pPr>
      <w:r w:rsidRPr="00A97E0A">
        <w:rPr>
          <w:b/>
        </w:rPr>
        <w:t>Общество и природа</w:t>
      </w:r>
    </w:p>
    <w:p w:rsidR="00A97E0A" w:rsidRDefault="00A97E0A" w:rsidP="00F4397C"/>
    <w:p w:rsidR="00A97E0A" w:rsidRPr="00A97E0A" w:rsidRDefault="00A97E0A" w:rsidP="00A97E0A">
      <w:pPr>
        <w:rPr>
          <w:b/>
        </w:rPr>
      </w:pPr>
      <w:r w:rsidRPr="00A97E0A">
        <w:rPr>
          <w:b/>
        </w:rPr>
        <w:t>Анализ социально-экологических характеристик посетителей природного парка «Ергаки» (Красноярский край)</w:t>
      </w:r>
    </w:p>
    <w:p w:rsidR="00A97E0A" w:rsidRPr="00A97E0A" w:rsidRDefault="00A97E0A" w:rsidP="00A97E0A">
      <w:r w:rsidRPr="00A97E0A">
        <w:t>Е.С. Шестакова</w:t>
      </w:r>
      <w:r w:rsidRPr="00A97E0A">
        <w:rPr>
          <w:vertAlign w:val="superscript"/>
        </w:rPr>
        <w:t>1</w:t>
      </w:r>
      <w:r w:rsidRPr="00A97E0A">
        <w:t>, к.п.н., А.Н. Рудык</w:t>
      </w:r>
      <w:r w:rsidRPr="00A97E0A">
        <w:rPr>
          <w:vertAlign w:val="superscript"/>
        </w:rPr>
        <w:t>1</w:t>
      </w:r>
      <w:r w:rsidRPr="00A97E0A">
        <w:t>, А.В. Берлякова</w:t>
      </w:r>
      <w:r w:rsidRPr="00A97E0A">
        <w:rPr>
          <w:vertAlign w:val="superscript"/>
        </w:rPr>
        <w:t>2</w:t>
      </w:r>
      <w:r w:rsidRPr="00A97E0A">
        <w:t>, к.п.н., И.В. Грязин</w:t>
      </w:r>
      <w:r w:rsidRPr="00A97E0A">
        <w:rPr>
          <w:vertAlign w:val="superscript"/>
        </w:rPr>
        <w:t>3</w:t>
      </w:r>
    </w:p>
    <w:p w:rsidR="00A97E0A" w:rsidRPr="00A97E0A" w:rsidRDefault="00A97E0A" w:rsidP="00A97E0A">
      <w:r w:rsidRPr="00A97E0A">
        <w:rPr>
          <w:vertAlign w:val="superscript"/>
        </w:rPr>
        <w:t>1</w:t>
      </w:r>
      <w:r w:rsidRPr="00A97E0A">
        <w:t>Крымский федеральный университет им. В.И. Вернадского</w:t>
      </w:r>
    </w:p>
    <w:p w:rsidR="00A97E0A" w:rsidRPr="00A97E0A" w:rsidRDefault="00A97E0A" w:rsidP="00A97E0A">
      <w:r w:rsidRPr="00A97E0A">
        <w:rPr>
          <w:vertAlign w:val="superscript"/>
        </w:rPr>
        <w:t>2</w:t>
      </w:r>
      <w:r w:rsidRPr="00A97E0A">
        <w:t>Сибирский федеральный университет</w:t>
      </w:r>
    </w:p>
    <w:p w:rsidR="00A97E0A" w:rsidRPr="00A97E0A" w:rsidRDefault="00A97E0A" w:rsidP="00A97E0A">
      <w:r w:rsidRPr="00A97E0A">
        <w:rPr>
          <w:vertAlign w:val="superscript"/>
        </w:rPr>
        <w:t>3</w:t>
      </w:r>
      <w:r w:rsidRPr="00A97E0A">
        <w:t>КГБУ «Дирекция природного парка «Ергаки»</w:t>
      </w:r>
    </w:p>
    <w:p w:rsidR="00A97E0A" w:rsidRPr="00A97E0A" w:rsidRDefault="00A97E0A" w:rsidP="00A97E0A">
      <w:r w:rsidRPr="00A97E0A">
        <w:t>В статье проведен анализ рекреационных потребностей, а также степени их удо</w:t>
      </w:r>
      <w:r>
        <w:t>влетворения посетителями природ</w:t>
      </w:r>
      <w:r w:rsidRPr="00A97E0A">
        <w:t>ного парка «Ергаки» на основе социологических исследований 2015 г. Показаны изменения современных потребностей</w:t>
      </w:r>
      <w:r>
        <w:t xml:space="preserve"> </w:t>
      </w:r>
      <w:r w:rsidRPr="00A97E0A">
        <w:t>посетителей параллельно с деятельностью администрации парка по рекреационному обустройству ООПТ в сравнении</w:t>
      </w:r>
      <w:r>
        <w:t xml:space="preserve"> </w:t>
      </w:r>
      <w:r w:rsidRPr="00A97E0A">
        <w:t xml:space="preserve">с 2008 г. Даны рекомендации по усовершенствованию рекреационного менеджмента, </w:t>
      </w:r>
      <w:r>
        <w:t>реализация которых позволит сво</w:t>
      </w:r>
      <w:r w:rsidRPr="00A97E0A">
        <w:t>евременно и комплексно управлять рекреационными воздействиями на природные комплексы парка.</w:t>
      </w:r>
    </w:p>
    <w:p w:rsidR="00AE1075" w:rsidRPr="00A97E0A" w:rsidRDefault="00A97E0A" w:rsidP="00A97E0A">
      <w:r w:rsidRPr="00A97E0A">
        <w:t>Ключевые слова: рекреационный менеджмент, природный парк «Ергаки», социоло</w:t>
      </w:r>
      <w:r>
        <w:t>гические исследования, анкетиро</w:t>
      </w:r>
      <w:r w:rsidRPr="00A97E0A">
        <w:t>вание, посетители ООПТ, рекреационные потребности, рекреационное обустройство</w:t>
      </w:r>
      <w:r>
        <w:t>, социально-экологические харак</w:t>
      </w:r>
      <w:r w:rsidRPr="00A97E0A">
        <w:t>теристики, психолого-поведенческие характеристики.</w:t>
      </w:r>
    </w:p>
    <w:p w:rsidR="00AE1075" w:rsidRDefault="00AE1075" w:rsidP="00A97E0A">
      <w:pPr>
        <w:ind w:left="709" w:firstLine="0"/>
      </w:pPr>
    </w:p>
    <w:p w:rsidR="00A97E0A" w:rsidRPr="00A97E0A" w:rsidRDefault="00A97E0A" w:rsidP="00A97E0A">
      <w:pPr>
        <w:rPr>
          <w:b/>
        </w:rPr>
      </w:pPr>
      <w:r w:rsidRPr="00A97E0A">
        <w:rPr>
          <w:b/>
        </w:rPr>
        <w:t>Календарь событий</w:t>
      </w:r>
    </w:p>
    <w:p w:rsidR="00A97E0A" w:rsidRDefault="00A97E0A" w:rsidP="00A97E0A">
      <w:pPr>
        <w:ind w:left="709" w:firstLine="0"/>
      </w:pPr>
    </w:p>
    <w:p w:rsidR="00A97E0A" w:rsidRPr="00A97E0A" w:rsidRDefault="00A97E0A" w:rsidP="00A97E0A">
      <w:pPr>
        <w:rPr>
          <w:b/>
        </w:rPr>
      </w:pPr>
      <w:r w:rsidRPr="00A97E0A">
        <w:rPr>
          <w:b/>
        </w:rPr>
        <w:t>Итоги съезда почвоведов в России</w:t>
      </w:r>
    </w:p>
    <w:p w:rsidR="00A97E0A" w:rsidRPr="00A97E0A" w:rsidRDefault="00A97E0A" w:rsidP="00A97E0A">
      <w:r w:rsidRPr="00A97E0A">
        <w:t>И.Н. Любимова</w:t>
      </w:r>
      <w:r>
        <w:rPr>
          <w:vertAlign w:val="superscript"/>
        </w:rPr>
        <w:t>1,</w:t>
      </w:r>
      <w:r w:rsidRPr="00A97E0A">
        <w:rPr>
          <w:vertAlign w:val="superscript"/>
        </w:rPr>
        <w:t>2</w:t>
      </w:r>
      <w:r w:rsidRPr="00A97E0A">
        <w:t>, д.с.-х.н., С.А. Шоба</w:t>
      </w:r>
      <w:r w:rsidRPr="00A97E0A">
        <w:rPr>
          <w:vertAlign w:val="superscript"/>
        </w:rPr>
        <w:t>1,3</w:t>
      </w:r>
      <w:r w:rsidRPr="00A97E0A">
        <w:t>, д.б.н., чл.-корр. РАН</w:t>
      </w:r>
    </w:p>
    <w:p w:rsidR="00A97E0A" w:rsidRPr="00A97E0A" w:rsidRDefault="00A97E0A" w:rsidP="00A97E0A">
      <w:r w:rsidRPr="00A97E0A">
        <w:rPr>
          <w:vertAlign w:val="superscript"/>
        </w:rPr>
        <w:t>1</w:t>
      </w:r>
      <w:r w:rsidRPr="00A97E0A">
        <w:t>Общество почвоведов им. В.В. Докучаева</w:t>
      </w:r>
    </w:p>
    <w:p w:rsidR="00A97E0A" w:rsidRPr="00A97E0A" w:rsidRDefault="00A97E0A" w:rsidP="00A97E0A">
      <w:r w:rsidRPr="00A97E0A">
        <w:rPr>
          <w:vertAlign w:val="superscript"/>
        </w:rPr>
        <w:lastRenderedPageBreak/>
        <w:t>2</w:t>
      </w:r>
      <w:r w:rsidRPr="00A97E0A">
        <w:t>Почвенный институт им. В.В. Докучаева</w:t>
      </w:r>
    </w:p>
    <w:p w:rsidR="00A97E0A" w:rsidRPr="00A97E0A" w:rsidRDefault="00A97E0A" w:rsidP="00A97E0A">
      <w:r w:rsidRPr="00A97E0A">
        <w:rPr>
          <w:vertAlign w:val="superscript"/>
        </w:rPr>
        <w:t>3</w:t>
      </w:r>
      <w:r w:rsidRPr="00A97E0A">
        <w:t>факультет почвоведения МГУ им. М.В. Ломоносова</w:t>
      </w:r>
    </w:p>
    <w:p w:rsidR="00A97E0A" w:rsidRPr="00A97E0A" w:rsidRDefault="00A97E0A" w:rsidP="00A97E0A">
      <w:r w:rsidRPr="00A97E0A">
        <w:t>Статья посвящена прошедшему 15-22 августа 2016 г. в г. Белгороде на базе Белгородского государственного</w:t>
      </w:r>
      <w:r>
        <w:t xml:space="preserve"> </w:t>
      </w:r>
      <w:r w:rsidRPr="00A97E0A">
        <w:t>национального исследовательского университета VII съезду Общества почвоведов им. В.В. Докучаева.</w:t>
      </w:r>
    </w:p>
    <w:p w:rsidR="00A97E0A" w:rsidRDefault="00A97E0A" w:rsidP="00A97E0A">
      <w:r w:rsidRPr="00A97E0A">
        <w:t>Ключевые слова: почвоведение, Общество почвоведов, почвовед, почва, почве</w:t>
      </w:r>
      <w:r>
        <w:t>нный покров, состояние почв, де</w:t>
      </w:r>
      <w:r w:rsidRPr="00A97E0A">
        <w:t>градация и охрана почв.</w:t>
      </w:r>
    </w:p>
    <w:p w:rsidR="00A97E0A" w:rsidRDefault="00A97E0A" w:rsidP="00A97E0A"/>
    <w:p w:rsidR="00A97E0A" w:rsidRPr="002C1BD7" w:rsidRDefault="002C1BD7" w:rsidP="002C1BD7">
      <w:pPr>
        <w:rPr>
          <w:b/>
        </w:rPr>
      </w:pPr>
      <w:r w:rsidRPr="002C1BD7">
        <w:rPr>
          <w:b/>
        </w:rPr>
        <w:t>Книжная полка</w:t>
      </w:r>
    </w:p>
    <w:p w:rsidR="00A97E0A" w:rsidRDefault="00A97E0A" w:rsidP="00A97E0A"/>
    <w:p w:rsidR="002C1BD7" w:rsidRPr="002C1BD7" w:rsidRDefault="002C1BD7" w:rsidP="002C1BD7">
      <w:pPr>
        <w:rPr>
          <w:b/>
        </w:rPr>
      </w:pPr>
      <w:r w:rsidRPr="002C1BD7">
        <w:rPr>
          <w:b/>
        </w:rPr>
        <w:t>Мысли о книге Сейдахмета Куттыкадама «Дао Алтая. Исток человеческой цивилизации»</w:t>
      </w:r>
    </w:p>
    <w:p w:rsidR="002C1BD7" w:rsidRPr="002C1BD7" w:rsidRDefault="002C1BD7" w:rsidP="002C1BD7">
      <w:r w:rsidRPr="002C1BD7">
        <w:t>В.А. Понько, д.т.н., к.г.н., проф., академик РАЕН</w:t>
      </w:r>
    </w:p>
    <w:p w:rsidR="00A97E0A" w:rsidRPr="002C1BD7" w:rsidRDefault="002C1BD7" w:rsidP="002C1BD7">
      <w:r w:rsidRPr="002C1BD7">
        <w:t>Труд казахского философа Сейдахмета Куттыкадама, вышедший в издательстве «Беловодье» в 2015 г. с предисловием к</w:t>
      </w:r>
      <w:r>
        <w:t xml:space="preserve"> </w:t>
      </w:r>
      <w:r w:rsidRPr="002C1BD7">
        <w:t>нему издателя Сергея Ключникова не может оставить меня равнодушным. Прежде всего интересна нить повествования автора в</w:t>
      </w:r>
      <w:r>
        <w:t xml:space="preserve"> </w:t>
      </w:r>
      <w:r w:rsidRPr="002C1BD7">
        <w:t>нарастающем потоке мнений, споров, противоречий, недомолвок различных школ, течений, исследователей о генезисе культур,</w:t>
      </w:r>
      <w:r>
        <w:t xml:space="preserve"> </w:t>
      </w:r>
      <w:r w:rsidRPr="002C1BD7">
        <w:t>жизненных циклов, скрытых в «темных тысячелетиях», духовных начал древних цивилизаций.</w:t>
      </w:r>
      <w:r>
        <w:t xml:space="preserve"> С. Куттыкадам выдвигает и дока</w:t>
      </w:r>
      <w:r w:rsidRPr="002C1BD7">
        <w:t>зывает гипотезу о том, что цивилизационные начала проистекали из азиатской палеолитической обители Изначального Знания,</w:t>
      </w:r>
      <w:r>
        <w:t xml:space="preserve"> </w:t>
      </w:r>
      <w:r w:rsidRPr="002C1BD7">
        <w:t xml:space="preserve">принимаемой им за «нулевую» точку. Духовность, материальное благосостояние людей, форма </w:t>
      </w:r>
      <w:r>
        <w:t>социальной организации, характе</w:t>
      </w:r>
      <w:r w:rsidRPr="002C1BD7">
        <w:t>ризующие культурную тропу человечества, исходили с территории Алтая.</w:t>
      </w:r>
    </w:p>
    <w:p w:rsidR="00A97E0A" w:rsidRDefault="00A97E0A" w:rsidP="00A97E0A"/>
    <w:p w:rsidR="00A97E0A" w:rsidRDefault="00A97E0A" w:rsidP="00A97E0A"/>
    <w:p w:rsidR="00A97E0A" w:rsidRPr="00A97E0A" w:rsidRDefault="00A97E0A" w:rsidP="00A97E0A"/>
    <w:sectPr w:rsidR="00A97E0A" w:rsidRPr="00A97E0A" w:rsidSect="00E72EE4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01" w:rsidRDefault="00301601" w:rsidP="004D303F">
      <w:r>
        <w:separator/>
      </w:r>
    </w:p>
  </w:endnote>
  <w:endnote w:type="continuationSeparator" w:id="1">
    <w:p w:rsidR="00301601" w:rsidRDefault="00301601" w:rsidP="004D3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PragmaticaC">
    <w:altName w:val="PragmaticaC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1326"/>
      <w:docPartObj>
        <w:docPartGallery w:val="Page Numbers (Bottom of Page)"/>
        <w:docPartUnique/>
      </w:docPartObj>
    </w:sdtPr>
    <w:sdtContent>
      <w:p w:rsidR="004D303F" w:rsidRDefault="00866883">
        <w:pPr>
          <w:pStyle w:val="a6"/>
          <w:jc w:val="right"/>
        </w:pPr>
        <w:fldSimple w:instr=" PAGE   \* MERGEFORMAT ">
          <w:r w:rsidR="002C1BD7">
            <w:rPr>
              <w:noProof/>
            </w:rPr>
            <w:t>6</w:t>
          </w:r>
        </w:fldSimple>
      </w:p>
    </w:sdtContent>
  </w:sdt>
  <w:p w:rsidR="004D303F" w:rsidRDefault="004D30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01" w:rsidRDefault="00301601" w:rsidP="004D303F">
      <w:r>
        <w:separator/>
      </w:r>
    </w:p>
  </w:footnote>
  <w:footnote w:type="continuationSeparator" w:id="1">
    <w:p w:rsidR="00301601" w:rsidRDefault="00301601" w:rsidP="004D3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AA2"/>
    <w:rsid w:val="00000898"/>
    <w:rsid w:val="000111DF"/>
    <w:rsid w:val="000119D1"/>
    <w:rsid w:val="00017304"/>
    <w:rsid w:val="00023BBD"/>
    <w:rsid w:val="000315DC"/>
    <w:rsid w:val="00083532"/>
    <w:rsid w:val="000A7409"/>
    <w:rsid w:val="000B18D3"/>
    <w:rsid w:val="000D066F"/>
    <w:rsid w:val="000F0BA9"/>
    <w:rsid w:val="00136980"/>
    <w:rsid w:val="00136FDF"/>
    <w:rsid w:val="001403A3"/>
    <w:rsid w:val="00144A85"/>
    <w:rsid w:val="00147517"/>
    <w:rsid w:val="001503AE"/>
    <w:rsid w:val="00154099"/>
    <w:rsid w:val="00166519"/>
    <w:rsid w:val="001669FB"/>
    <w:rsid w:val="0016765B"/>
    <w:rsid w:val="00186F4C"/>
    <w:rsid w:val="001954EA"/>
    <w:rsid w:val="001B0150"/>
    <w:rsid w:val="001B1094"/>
    <w:rsid w:val="001B5213"/>
    <w:rsid w:val="001B6ABA"/>
    <w:rsid w:val="001C05A8"/>
    <w:rsid w:val="001C1E94"/>
    <w:rsid w:val="001F0228"/>
    <w:rsid w:val="00204131"/>
    <w:rsid w:val="002164E7"/>
    <w:rsid w:val="00231083"/>
    <w:rsid w:val="00231A2A"/>
    <w:rsid w:val="002335AC"/>
    <w:rsid w:val="0024464F"/>
    <w:rsid w:val="00245755"/>
    <w:rsid w:val="002658DF"/>
    <w:rsid w:val="00266185"/>
    <w:rsid w:val="002671A8"/>
    <w:rsid w:val="00290442"/>
    <w:rsid w:val="002966BD"/>
    <w:rsid w:val="002B1FEE"/>
    <w:rsid w:val="002C1BD7"/>
    <w:rsid w:val="002C6269"/>
    <w:rsid w:val="002D6D20"/>
    <w:rsid w:val="002E0125"/>
    <w:rsid w:val="002E5E15"/>
    <w:rsid w:val="00301601"/>
    <w:rsid w:val="00304692"/>
    <w:rsid w:val="00326832"/>
    <w:rsid w:val="0034135F"/>
    <w:rsid w:val="00356190"/>
    <w:rsid w:val="00364AFD"/>
    <w:rsid w:val="0036623C"/>
    <w:rsid w:val="00380CB3"/>
    <w:rsid w:val="003822CB"/>
    <w:rsid w:val="00383918"/>
    <w:rsid w:val="003845C0"/>
    <w:rsid w:val="003901CE"/>
    <w:rsid w:val="00393CC8"/>
    <w:rsid w:val="0039407F"/>
    <w:rsid w:val="003A3429"/>
    <w:rsid w:val="003C339B"/>
    <w:rsid w:val="003D5E61"/>
    <w:rsid w:val="003E4321"/>
    <w:rsid w:val="003F569B"/>
    <w:rsid w:val="004133F8"/>
    <w:rsid w:val="00426A79"/>
    <w:rsid w:val="00483F77"/>
    <w:rsid w:val="004A490A"/>
    <w:rsid w:val="004B2DFC"/>
    <w:rsid w:val="004C4F80"/>
    <w:rsid w:val="004D303F"/>
    <w:rsid w:val="004D699B"/>
    <w:rsid w:val="00515F8A"/>
    <w:rsid w:val="00521AEF"/>
    <w:rsid w:val="00525657"/>
    <w:rsid w:val="005262E9"/>
    <w:rsid w:val="005434F0"/>
    <w:rsid w:val="005504A9"/>
    <w:rsid w:val="00551872"/>
    <w:rsid w:val="005520DA"/>
    <w:rsid w:val="005918DD"/>
    <w:rsid w:val="005A49A5"/>
    <w:rsid w:val="005A6512"/>
    <w:rsid w:val="005A760A"/>
    <w:rsid w:val="005C6B5D"/>
    <w:rsid w:val="005D1EF9"/>
    <w:rsid w:val="005D2CC7"/>
    <w:rsid w:val="005E0D5D"/>
    <w:rsid w:val="005E29A9"/>
    <w:rsid w:val="005F041C"/>
    <w:rsid w:val="005F7DC6"/>
    <w:rsid w:val="00622166"/>
    <w:rsid w:val="00653CF1"/>
    <w:rsid w:val="00655D0F"/>
    <w:rsid w:val="00657D53"/>
    <w:rsid w:val="00661113"/>
    <w:rsid w:val="0066364C"/>
    <w:rsid w:val="00674BE5"/>
    <w:rsid w:val="00676DBD"/>
    <w:rsid w:val="00687821"/>
    <w:rsid w:val="00690B64"/>
    <w:rsid w:val="00694B49"/>
    <w:rsid w:val="006B1249"/>
    <w:rsid w:val="006B5947"/>
    <w:rsid w:val="006C4DB2"/>
    <w:rsid w:val="006C59FB"/>
    <w:rsid w:val="006D0130"/>
    <w:rsid w:val="006E1EB7"/>
    <w:rsid w:val="006F2AA2"/>
    <w:rsid w:val="00710959"/>
    <w:rsid w:val="00722E58"/>
    <w:rsid w:val="007304B9"/>
    <w:rsid w:val="0073706B"/>
    <w:rsid w:val="00744925"/>
    <w:rsid w:val="00744D45"/>
    <w:rsid w:val="0075774A"/>
    <w:rsid w:val="00763AE9"/>
    <w:rsid w:val="00766878"/>
    <w:rsid w:val="00781C8F"/>
    <w:rsid w:val="00787C9A"/>
    <w:rsid w:val="00796DF7"/>
    <w:rsid w:val="007A755A"/>
    <w:rsid w:val="007A7AB2"/>
    <w:rsid w:val="007B6D35"/>
    <w:rsid w:val="007B6F67"/>
    <w:rsid w:val="007B7B0E"/>
    <w:rsid w:val="007C04EB"/>
    <w:rsid w:val="00807A71"/>
    <w:rsid w:val="008111A3"/>
    <w:rsid w:val="00827F23"/>
    <w:rsid w:val="00831815"/>
    <w:rsid w:val="0084207A"/>
    <w:rsid w:val="00853902"/>
    <w:rsid w:val="00866883"/>
    <w:rsid w:val="00870768"/>
    <w:rsid w:val="008738FC"/>
    <w:rsid w:val="008762CF"/>
    <w:rsid w:val="00880D3E"/>
    <w:rsid w:val="00885B1D"/>
    <w:rsid w:val="00886A68"/>
    <w:rsid w:val="00894F76"/>
    <w:rsid w:val="008A0E6E"/>
    <w:rsid w:val="008C3E0F"/>
    <w:rsid w:val="008D08DD"/>
    <w:rsid w:val="008E7344"/>
    <w:rsid w:val="008F29AB"/>
    <w:rsid w:val="0092002B"/>
    <w:rsid w:val="00931238"/>
    <w:rsid w:val="0093628C"/>
    <w:rsid w:val="009374D3"/>
    <w:rsid w:val="00947EDC"/>
    <w:rsid w:val="009766EA"/>
    <w:rsid w:val="00981BEE"/>
    <w:rsid w:val="0098588B"/>
    <w:rsid w:val="00995D0A"/>
    <w:rsid w:val="009B32EE"/>
    <w:rsid w:val="009B7F33"/>
    <w:rsid w:val="009D24A2"/>
    <w:rsid w:val="009D4AB4"/>
    <w:rsid w:val="009D517D"/>
    <w:rsid w:val="009D66F7"/>
    <w:rsid w:val="00A137D5"/>
    <w:rsid w:val="00A1681C"/>
    <w:rsid w:val="00A209E6"/>
    <w:rsid w:val="00A21F46"/>
    <w:rsid w:val="00A23EE7"/>
    <w:rsid w:val="00A246C5"/>
    <w:rsid w:val="00A3211C"/>
    <w:rsid w:val="00A52CF4"/>
    <w:rsid w:val="00A72FF9"/>
    <w:rsid w:val="00A773EB"/>
    <w:rsid w:val="00A9282F"/>
    <w:rsid w:val="00A97E0A"/>
    <w:rsid w:val="00AA5812"/>
    <w:rsid w:val="00AC4E9B"/>
    <w:rsid w:val="00AD47A2"/>
    <w:rsid w:val="00AE1075"/>
    <w:rsid w:val="00AE2A5B"/>
    <w:rsid w:val="00AE5898"/>
    <w:rsid w:val="00AF7B7C"/>
    <w:rsid w:val="00B019EB"/>
    <w:rsid w:val="00B163D4"/>
    <w:rsid w:val="00B16EC6"/>
    <w:rsid w:val="00B3424D"/>
    <w:rsid w:val="00B45464"/>
    <w:rsid w:val="00B46C2D"/>
    <w:rsid w:val="00B47A76"/>
    <w:rsid w:val="00B513BA"/>
    <w:rsid w:val="00B65AEB"/>
    <w:rsid w:val="00B773CA"/>
    <w:rsid w:val="00B81626"/>
    <w:rsid w:val="00B86BB4"/>
    <w:rsid w:val="00B91B3D"/>
    <w:rsid w:val="00BC2CCB"/>
    <w:rsid w:val="00BC5218"/>
    <w:rsid w:val="00BE7BFB"/>
    <w:rsid w:val="00C019F4"/>
    <w:rsid w:val="00C03ACF"/>
    <w:rsid w:val="00C15257"/>
    <w:rsid w:val="00C22FCD"/>
    <w:rsid w:val="00C26E99"/>
    <w:rsid w:val="00C33777"/>
    <w:rsid w:val="00C45F18"/>
    <w:rsid w:val="00C472AF"/>
    <w:rsid w:val="00C56BAF"/>
    <w:rsid w:val="00C82629"/>
    <w:rsid w:val="00C86DD0"/>
    <w:rsid w:val="00CA015A"/>
    <w:rsid w:val="00CB40BE"/>
    <w:rsid w:val="00CC078F"/>
    <w:rsid w:val="00CC2271"/>
    <w:rsid w:val="00CC27E9"/>
    <w:rsid w:val="00CD0388"/>
    <w:rsid w:val="00D029D8"/>
    <w:rsid w:val="00D03AB7"/>
    <w:rsid w:val="00D05B31"/>
    <w:rsid w:val="00D2477C"/>
    <w:rsid w:val="00D42061"/>
    <w:rsid w:val="00D44F81"/>
    <w:rsid w:val="00D46654"/>
    <w:rsid w:val="00D565FA"/>
    <w:rsid w:val="00D5677E"/>
    <w:rsid w:val="00D669DE"/>
    <w:rsid w:val="00D70F1D"/>
    <w:rsid w:val="00D75117"/>
    <w:rsid w:val="00D75C23"/>
    <w:rsid w:val="00D95B63"/>
    <w:rsid w:val="00DA06CA"/>
    <w:rsid w:val="00DC40F0"/>
    <w:rsid w:val="00DC426D"/>
    <w:rsid w:val="00DC5B1F"/>
    <w:rsid w:val="00DD4DE7"/>
    <w:rsid w:val="00DF3D62"/>
    <w:rsid w:val="00E2738E"/>
    <w:rsid w:val="00E31117"/>
    <w:rsid w:val="00E32C93"/>
    <w:rsid w:val="00E33121"/>
    <w:rsid w:val="00E369B6"/>
    <w:rsid w:val="00E470F1"/>
    <w:rsid w:val="00E66085"/>
    <w:rsid w:val="00E67B15"/>
    <w:rsid w:val="00E750ED"/>
    <w:rsid w:val="00E81BF0"/>
    <w:rsid w:val="00E863A2"/>
    <w:rsid w:val="00E92A25"/>
    <w:rsid w:val="00E95DBD"/>
    <w:rsid w:val="00E95DC3"/>
    <w:rsid w:val="00ED1F28"/>
    <w:rsid w:val="00ED2083"/>
    <w:rsid w:val="00ED4828"/>
    <w:rsid w:val="00ED7FD5"/>
    <w:rsid w:val="00F0328A"/>
    <w:rsid w:val="00F06843"/>
    <w:rsid w:val="00F14962"/>
    <w:rsid w:val="00F418C9"/>
    <w:rsid w:val="00F4397C"/>
    <w:rsid w:val="00F453B1"/>
    <w:rsid w:val="00F522CB"/>
    <w:rsid w:val="00F735DB"/>
    <w:rsid w:val="00F80AC8"/>
    <w:rsid w:val="00F83B29"/>
    <w:rsid w:val="00F86987"/>
    <w:rsid w:val="00FA70FE"/>
    <w:rsid w:val="00FC0F8E"/>
    <w:rsid w:val="00FC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A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5464"/>
    <w:pPr>
      <w:contextualSpacing/>
    </w:pPr>
    <w:rPr>
      <w:rFonts w:eastAsia="Times New Roman"/>
    </w:rPr>
  </w:style>
  <w:style w:type="paragraph" w:customStyle="1" w:styleId="Default">
    <w:name w:val="Default"/>
    <w:rsid w:val="006F2AA2"/>
    <w:pPr>
      <w:autoSpaceDE w:val="0"/>
      <w:autoSpaceDN w:val="0"/>
      <w:adjustRightInd w:val="0"/>
      <w:ind w:firstLine="0"/>
      <w:jc w:val="left"/>
    </w:pPr>
    <w:rPr>
      <w:rFonts w:ascii="TextBookC" w:hAnsi="TextBookC" w:cs="TextBookC"/>
      <w:color w:val="000000"/>
      <w:sz w:val="24"/>
      <w:szCs w:val="24"/>
    </w:rPr>
  </w:style>
  <w:style w:type="character" w:customStyle="1" w:styleId="A00">
    <w:name w:val="A0"/>
    <w:uiPriority w:val="99"/>
    <w:rsid w:val="006F2AA2"/>
    <w:rPr>
      <w:rFonts w:cs="TextBookC"/>
      <w:i/>
      <w:iCs/>
      <w:color w:val="221E1F"/>
      <w:sz w:val="20"/>
      <w:szCs w:val="20"/>
    </w:rPr>
  </w:style>
  <w:style w:type="character" w:customStyle="1" w:styleId="A12">
    <w:name w:val="A12"/>
    <w:uiPriority w:val="99"/>
    <w:rsid w:val="006F2AA2"/>
    <w:rPr>
      <w:rFonts w:cs="TextBookC"/>
      <w:i/>
      <w:iCs/>
      <w:color w:val="221E1F"/>
      <w:sz w:val="11"/>
      <w:szCs w:val="11"/>
    </w:rPr>
  </w:style>
  <w:style w:type="character" w:customStyle="1" w:styleId="A7">
    <w:name w:val="A7"/>
    <w:uiPriority w:val="99"/>
    <w:rsid w:val="006F2AA2"/>
    <w:rPr>
      <w:rFonts w:ascii="PetersburgC" w:hAnsi="PetersburgC" w:cs="PetersburgC"/>
      <w:color w:val="221E1F"/>
      <w:sz w:val="18"/>
      <w:szCs w:val="18"/>
    </w:rPr>
  </w:style>
  <w:style w:type="paragraph" w:customStyle="1" w:styleId="Pa22">
    <w:name w:val="Pa22"/>
    <w:basedOn w:val="Default"/>
    <w:next w:val="Default"/>
    <w:uiPriority w:val="99"/>
    <w:rsid w:val="006F2AA2"/>
    <w:pPr>
      <w:spacing w:line="36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E0D5D"/>
    <w:pPr>
      <w:spacing w:line="24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5E0D5D"/>
    <w:pPr>
      <w:spacing w:line="24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10959"/>
    <w:rPr>
      <w:rFonts w:cs="TextBookC"/>
      <w:b/>
      <w:bCs/>
      <w:color w:val="221E1F"/>
      <w:sz w:val="32"/>
      <w:szCs w:val="32"/>
    </w:rPr>
  </w:style>
  <w:style w:type="character" w:customStyle="1" w:styleId="A18">
    <w:name w:val="A18"/>
    <w:uiPriority w:val="99"/>
    <w:rsid w:val="002E0125"/>
    <w:rPr>
      <w:rFonts w:cs="TextBookC"/>
      <w:i/>
      <w:iCs/>
      <w:color w:val="221E1F"/>
      <w:sz w:val="10"/>
      <w:szCs w:val="10"/>
    </w:rPr>
  </w:style>
  <w:style w:type="character" w:customStyle="1" w:styleId="A14">
    <w:name w:val="A14"/>
    <w:uiPriority w:val="99"/>
    <w:rsid w:val="00C86DD0"/>
    <w:rPr>
      <w:rFonts w:ascii="PetersburgC" w:hAnsi="PetersburgC" w:cs="PetersburgC"/>
      <w:color w:val="221E1F"/>
      <w:sz w:val="10"/>
      <w:szCs w:val="10"/>
    </w:rPr>
  </w:style>
  <w:style w:type="paragraph" w:customStyle="1" w:styleId="Pa41">
    <w:name w:val="Pa41"/>
    <w:basedOn w:val="Default"/>
    <w:next w:val="Default"/>
    <w:uiPriority w:val="99"/>
    <w:rsid w:val="00C22FCD"/>
    <w:pPr>
      <w:spacing w:line="18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8762CF"/>
    <w:rPr>
      <w:rFonts w:cs="PragmaticaC"/>
      <w:b/>
      <w:bCs/>
      <w:color w:val="221E1F"/>
      <w:sz w:val="26"/>
      <w:szCs w:val="26"/>
    </w:rPr>
  </w:style>
  <w:style w:type="paragraph" w:customStyle="1" w:styleId="Pa24">
    <w:name w:val="Pa24"/>
    <w:basedOn w:val="Default"/>
    <w:next w:val="Default"/>
    <w:uiPriority w:val="99"/>
    <w:rsid w:val="00F80AC8"/>
    <w:pPr>
      <w:spacing w:line="24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AE5898"/>
    <w:pPr>
      <w:spacing w:line="36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AE5898"/>
    <w:rPr>
      <w:rFonts w:cs="TextBookC"/>
      <w:b/>
      <w:bCs/>
      <w:color w:val="221E1F"/>
      <w:sz w:val="32"/>
      <w:szCs w:val="32"/>
    </w:rPr>
  </w:style>
  <w:style w:type="character" w:customStyle="1" w:styleId="A17">
    <w:name w:val="A17"/>
    <w:uiPriority w:val="99"/>
    <w:rsid w:val="00D2477C"/>
    <w:rPr>
      <w:rFonts w:cs="TextBookC"/>
      <w:i/>
      <w:iCs/>
      <w:color w:val="221E1F"/>
      <w:sz w:val="10"/>
      <w:szCs w:val="10"/>
    </w:rPr>
  </w:style>
  <w:style w:type="paragraph" w:customStyle="1" w:styleId="Pa37">
    <w:name w:val="Pa37"/>
    <w:basedOn w:val="Default"/>
    <w:next w:val="Default"/>
    <w:uiPriority w:val="99"/>
    <w:rsid w:val="00D42061"/>
    <w:pPr>
      <w:spacing w:line="18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D42061"/>
    <w:pPr>
      <w:spacing w:line="181" w:lineRule="atLeast"/>
    </w:pPr>
    <w:rPr>
      <w:rFonts w:cstheme="minorBidi"/>
      <w:color w:val="auto"/>
    </w:rPr>
  </w:style>
  <w:style w:type="paragraph" w:styleId="a4">
    <w:name w:val="header"/>
    <w:basedOn w:val="a"/>
    <w:link w:val="a5"/>
    <w:uiPriority w:val="99"/>
    <w:semiHidden/>
    <w:unhideWhenUsed/>
    <w:rsid w:val="004D3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303F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8"/>
    <w:uiPriority w:val="99"/>
    <w:unhideWhenUsed/>
    <w:rsid w:val="004D3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6"/>
    <w:uiPriority w:val="99"/>
    <w:rsid w:val="004D303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Evgeniy</cp:lastModifiedBy>
  <cp:revision>11</cp:revision>
  <dcterms:created xsi:type="dcterms:W3CDTF">2016-12-06T12:38:00Z</dcterms:created>
  <dcterms:modified xsi:type="dcterms:W3CDTF">2016-12-06T12:59:00Z</dcterms:modified>
</cp:coreProperties>
</file>